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right" w:pos="10080"/>
        </w:tabs>
        <w:contextualSpacing w:val="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sz w:val="22"/>
          <w:szCs w:val="22"/>
          <w:rtl w:val="0"/>
        </w:rPr>
        <w:t xml:space="preserve">June 2016</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Dear Parents/Guardians:</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left" w:pos="360"/>
        </w:tabs>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letter is to inform you about the Piscataway Township School District (PTS) procedure regarding the awarding of credits and placement for summer courses or online courses in English Language Arts and Mathematics.</w:t>
      </w:r>
    </w:p>
    <w:p w:rsidR="00000000" w:rsidDel="00000000" w:rsidP="00000000" w:rsidRDefault="00000000" w:rsidRPr="00000000">
      <w:pPr>
        <w:tabs>
          <w:tab w:val="left" w:pos="360"/>
        </w:tabs>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left" w:pos="360"/>
        </w:tabs>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Any student who completes and passes a summer course or online course in English Language Arts or Mathematics is required to take and pass a comprehensive PTS competency assessment in that subject to receive credit and placement for that course. Therefore, it is important that focused study is given to the necessary skills and concepts listed on the district outline. Specific course outlines can be accessed through our website.</w:t>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numPr>
          <w:ilvl w:val="0"/>
          <w:numId w:val="2"/>
        </w:numPr>
        <w:ind w:left="720" w:hanging="360"/>
        <w:jc w:val="both"/>
        <w:rPr>
          <w:sz w:val="22"/>
          <w:szCs w:val="22"/>
        </w:rPr>
      </w:pPr>
      <w:r w:rsidDel="00000000" w:rsidR="00000000" w:rsidRPr="00000000">
        <w:rPr>
          <w:rFonts w:ascii="Times New Roman" w:cs="Times New Roman" w:eastAsia="Times New Roman" w:hAnsi="Times New Roman"/>
          <w:sz w:val="22"/>
          <w:szCs w:val="22"/>
          <w:rtl w:val="0"/>
        </w:rPr>
        <w:t xml:space="preserve">No student will be eligible to take the competency assessment for a course without first completing and passing a corresponding summer course or online course.</w:t>
      </w:r>
    </w:p>
    <w:p w:rsidR="00000000" w:rsidDel="00000000" w:rsidP="00000000" w:rsidRDefault="00000000" w:rsidRPr="00000000">
      <w:pPr>
        <w:ind w:left="720" w:firstLine="0"/>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numPr>
          <w:ilvl w:val="0"/>
          <w:numId w:val="2"/>
        </w:numPr>
        <w:ind w:left="720" w:hanging="360"/>
        <w:jc w:val="both"/>
        <w:rPr>
          <w:sz w:val="22"/>
          <w:szCs w:val="22"/>
        </w:rPr>
      </w:pPr>
      <w:r w:rsidDel="00000000" w:rsidR="00000000" w:rsidRPr="00000000">
        <w:rPr>
          <w:rFonts w:ascii="Times New Roman" w:cs="Times New Roman" w:eastAsia="Times New Roman" w:hAnsi="Times New Roman"/>
          <w:b w:val="1"/>
          <w:sz w:val="22"/>
          <w:szCs w:val="22"/>
          <w:rtl w:val="0"/>
        </w:rPr>
        <w:t xml:space="preserve">Competency exams will be administered at 9 am in Cafeteria B of the West Wing (Patton Building) of Piscataway High School on August 8, August 22, and August 25.</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Proof of the successful completion of a corresponding summer course or online course must be brought at the time of the exam.</w:t>
      </w:r>
    </w:p>
    <w:p w:rsidR="00000000" w:rsidDel="00000000" w:rsidP="00000000" w:rsidRDefault="00000000" w:rsidRPr="00000000">
      <w:pPr>
        <w:numPr>
          <w:ilvl w:val="0"/>
          <w:numId w:val="3"/>
        </w:numPr>
        <w:spacing w:after="0" w:before="0" w:line="240" w:lineRule="auto"/>
        <w:ind w:left="1440" w:hanging="360"/>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All competency assessments must be scheduled through the College, Career and Personal Guidance office by phone at (732) 981-0700 ext. 2024 or by email at </w:t>
      </w:r>
      <w:hyperlink r:id="rId5">
        <w:r w:rsidDel="00000000" w:rsidR="00000000" w:rsidRPr="00000000">
          <w:rPr>
            <w:rFonts w:ascii="Times New Roman" w:cs="Times New Roman" w:eastAsia="Times New Roman" w:hAnsi="Times New Roman"/>
            <w:b w:val="0"/>
            <w:color w:val="0000ff"/>
            <w:sz w:val="22"/>
            <w:szCs w:val="22"/>
            <w:u w:val="single"/>
            <w:rtl w:val="0"/>
          </w:rPr>
          <w:t xml:space="preserve">lpols@pway.org</w:t>
        </w:r>
      </w:hyperlink>
      <w:r w:rsidDel="00000000" w:rsidR="00000000" w:rsidRPr="00000000">
        <w:rPr>
          <w:rFonts w:ascii="Times New Roman" w:cs="Times New Roman" w:eastAsia="Times New Roman" w:hAnsi="Times New Roman"/>
          <w:b w:val="0"/>
          <w:sz w:val="22"/>
          <w:szCs w:val="22"/>
          <w:rtl w:val="0"/>
        </w:rPr>
        <w:t xml:space="preserve">.</w:t>
      </w:r>
    </w:p>
    <w:p w:rsidR="00000000" w:rsidDel="00000000" w:rsidP="00000000" w:rsidRDefault="00000000" w:rsidRPr="00000000">
      <w:pPr>
        <w:spacing w:after="0" w:before="0" w:line="240" w:lineRule="auto"/>
        <w:ind w:left="0" w:firstLine="0"/>
        <w:contextualSpacing w:val="0"/>
        <w:jc w:val="both"/>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Any student who passes a competency assessment will be notified by a high school counselor to finalize the appropriate adjustments to his/her upcoming schedule of classes.</w:t>
      </w:r>
    </w:p>
    <w:p w:rsidR="00000000" w:rsidDel="00000000" w:rsidP="00000000" w:rsidRDefault="00000000" w:rsidRPr="00000000">
      <w:pPr>
        <w:spacing w:after="0" w:before="0" w:line="240" w:lineRule="auto"/>
        <w:ind w:left="0" w:firstLine="0"/>
        <w:contextualSpacing w:val="0"/>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 student who does not pass the competency assessment will receive no credit for the course taken and must repeat the class during the upcoming academic school year.</w:t>
      </w:r>
    </w:p>
    <w:p w:rsidR="00000000" w:rsidDel="00000000" w:rsidP="00000000" w:rsidRDefault="00000000" w:rsidRPr="00000000">
      <w:pPr>
        <w:spacing w:after="0" w:before="0" w:line="240" w:lineRule="auto"/>
        <w:ind w:left="0" w:firstLine="0"/>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tabs>
          <w:tab w:val="left" w:pos="360"/>
        </w:tabs>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procedures ensure that all students who take a summer course or online course in English Language Arts or Mathematics have met the Piscataway School District standard of proficiency.</w:t>
      </w:r>
    </w:p>
    <w:p w:rsidR="00000000" w:rsidDel="00000000" w:rsidP="00000000" w:rsidRDefault="00000000" w:rsidRPr="00000000">
      <w:pPr>
        <w:tabs>
          <w:tab w:val="left" w:pos="360"/>
        </w:tabs>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sign the Summer/Online Course Acknowledgement Form indicating that you understand the procedures outlined above.  This form is also available on the Piscataway High School website under the Counseling tab.  Please return one completed copy of this form to the College, Career, and Personal Guidance department </w:t>
      </w:r>
      <w:r w:rsidDel="00000000" w:rsidR="00000000" w:rsidRPr="00000000">
        <w:rPr>
          <w:rFonts w:ascii="Times New Roman" w:cs="Times New Roman" w:eastAsia="Times New Roman" w:hAnsi="Times New Roman"/>
          <w:b w:val="1"/>
          <w:i w:val="1"/>
          <w:sz w:val="22"/>
          <w:szCs w:val="22"/>
          <w:u w:val="single"/>
          <w:rtl w:val="0"/>
        </w:rPr>
        <w:t xml:space="preserve">prior</w:t>
      </w:r>
      <w:r w:rsidDel="00000000" w:rsidR="00000000" w:rsidRPr="00000000">
        <w:rPr>
          <w:rFonts w:ascii="Times New Roman" w:cs="Times New Roman" w:eastAsia="Times New Roman" w:hAnsi="Times New Roman"/>
          <w:sz w:val="22"/>
          <w:szCs w:val="22"/>
          <w:rtl w:val="0"/>
        </w:rPr>
        <w:t xml:space="preserve"> to enrolling your child in any summer course.  Any questions or concerns may be directed to your child’s counselor or to Mrs. Edmondson, College, Career and Personal Guidance Department Chair at (732) 981-0700 ext. 2232 or </w:t>
      </w:r>
      <w:hyperlink r:id="rId6">
        <w:r w:rsidDel="00000000" w:rsidR="00000000" w:rsidRPr="00000000">
          <w:rPr>
            <w:rFonts w:ascii="Times New Roman" w:cs="Times New Roman" w:eastAsia="Times New Roman" w:hAnsi="Times New Roman"/>
            <w:color w:val="0000ff"/>
            <w:sz w:val="22"/>
            <w:szCs w:val="22"/>
            <w:u w:val="single"/>
            <w:rtl w:val="0"/>
          </w:rPr>
          <w:t xml:space="preserve">tedmondson@pway.org</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tabs>
          <w:tab w:val="right" w:pos="9180"/>
        </w:tabs>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pPr>
        <w:tabs>
          <w:tab w:val="right" w:pos="9180"/>
        </w:tabs>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Sincerely,</w:t>
      </w:r>
    </w:p>
    <w:p w:rsidR="00000000" w:rsidDel="00000000" w:rsidP="00000000" w:rsidRDefault="00000000" w:rsidRPr="00000000">
      <w:pPr>
        <w:tabs>
          <w:tab w:val="right" w:pos="9180"/>
        </w:tabs>
        <w:ind w:left="6480"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tabs>
          <w:tab w:val="right" w:pos="9180"/>
        </w:tabs>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Jason Lester</w:t>
      </w:r>
    </w:p>
    <w:p w:rsidR="00000000" w:rsidDel="00000000" w:rsidP="00000000" w:rsidRDefault="00000000" w:rsidRPr="00000000">
      <w:pPr>
        <w:tabs>
          <w:tab w:val="right" w:pos="9180"/>
        </w:tabs>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Principal</w:t>
      </w:r>
    </w:p>
    <w:p w:rsidR="00000000" w:rsidDel="00000000" w:rsidP="00000000" w:rsidRDefault="00000000" w:rsidRPr="00000000">
      <w:pP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Comptency letter/parents</w:t>
      </w:r>
    </w:p>
    <w:p w:rsidR="00000000" w:rsidDel="00000000" w:rsidP="00000000" w:rsidRDefault="00000000" w:rsidRPr="00000000">
      <w:r w:rsidDel="00000000" w:rsidR="00000000" w:rsidRPr="00000000">
        <w:rPr>
          <w:rFonts w:ascii="Times New Roman" w:cs="Times New Roman" w:eastAsia="Times New Roman" w:hAnsi="Times New Roman"/>
          <w:sz w:val="16"/>
          <w:szCs w:val="16"/>
          <w:rtl w:val="0"/>
        </w:rPr>
        <w:t xml:space="preserve">lcp</w:t>
      </w:r>
      <w:r w:rsidDel="00000000" w:rsidR="00000000" w:rsidRPr="00000000">
        <w:br w:type="page"/>
      </w:r>
    </w:p>
    <w:p w:rsidR="00000000" w:rsidDel="00000000" w:rsidP="00000000" w:rsidRDefault="00000000" w:rsidRPr="00000000">
      <w:pP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Summer/Online Course Acknowledgement Form</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rtl w:val="0"/>
        </w:rPr>
        <w:t xml:space="preserve">Student Name: 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 ID: 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Name of Summer/Online Course: ______________________________________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Provider: ___________________________________________________</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______I acknowledge that my student is required to take and pass a competency assessment for English Language Arts or Mathematics after completing and passing a summer course or online course.</w:t>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______I also acknowledge that if a passing score is achieved on the competency assessment, contact with the College, Career and Personal Guidance Department will be made to finalize scheduling.</w:t>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______I further acknowledge that if a passing score is not achieved, my student will receive </w:t>
      </w:r>
      <w:r w:rsidDel="00000000" w:rsidR="00000000" w:rsidRPr="00000000">
        <w:rPr>
          <w:rFonts w:ascii="Times New Roman" w:cs="Times New Roman" w:eastAsia="Times New Roman" w:hAnsi="Times New Roman"/>
          <w:u w:val="single"/>
          <w:rtl w:val="0"/>
        </w:rPr>
        <w:t xml:space="preserve">no credit</w:t>
      </w:r>
      <w:r w:rsidDel="00000000" w:rsidR="00000000" w:rsidRPr="00000000">
        <w:rPr>
          <w:rFonts w:ascii="Times New Roman" w:cs="Times New Roman" w:eastAsia="Times New Roman" w:hAnsi="Times New Roman"/>
          <w:rtl w:val="0"/>
        </w:rPr>
        <w:t xml:space="preserve"> for the summer or online course taken and </w:t>
      </w:r>
      <w:r w:rsidDel="00000000" w:rsidR="00000000" w:rsidRPr="00000000">
        <w:rPr>
          <w:rFonts w:ascii="Times New Roman" w:cs="Times New Roman" w:eastAsia="Times New Roman" w:hAnsi="Times New Roman"/>
          <w:u w:val="single"/>
          <w:rtl w:val="0"/>
        </w:rPr>
        <w:t xml:space="preserve">must repeat the course</w:t>
      </w:r>
      <w:r w:rsidDel="00000000" w:rsidR="00000000" w:rsidRPr="00000000">
        <w:rPr>
          <w:rFonts w:ascii="Times New Roman" w:cs="Times New Roman" w:eastAsia="Times New Roman" w:hAnsi="Times New Roman"/>
          <w:rtl w:val="0"/>
        </w:rPr>
        <w:t xml:space="preserve"> during the academic school year.</w:t>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______I acknowledge that all online courses must be completed by August 15, 2016.</w:t>
      </w:r>
    </w:p>
    <w:p w:rsidR="00000000" w:rsidDel="00000000" w:rsidP="00000000" w:rsidRDefault="00000000" w:rsidRPr="00000000">
      <w:pPr>
        <w:ind w:left="720" w:hanging="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hanging="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______I acknowledge if this course will be used for NCAA eligibility I have confirmed it is an approved course from the NCAA website </w:t>
      </w:r>
      <w:hyperlink r:id="rId7">
        <w:r w:rsidDel="00000000" w:rsidR="00000000" w:rsidRPr="00000000">
          <w:rPr>
            <w:rFonts w:ascii="Times New Roman" w:cs="Times New Roman" w:eastAsia="Times New Roman" w:hAnsi="Times New Roman"/>
            <w:color w:val="0000ff"/>
            <w:u w:val="single"/>
            <w:rtl w:val="0"/>
          </w:rPr>
          <w:t xml:space="preserve">www.eligibiltycenter.com</w:t>
        </w:r>
      </w:hyperlink>
      <w:r w:rsidDel="00000000" w:rsidR="00000000" w:rsidRPr="00000000">
        <w:rPr>
          <w:rFonts w:ascii="Times New Roman" w:cs="Times New Roman" w:eastAsia="Times New Roman" w:hAnsi="Times New Roman"/>
          <w:rtl w:val="0"/>
        </w:rPr>
        <w:t xml:space="preserve"> (under the resources tab).</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w:t>
        <w:tab/>
        <w:t xml:space="preserve">_______________________________</w:t>
        <w:tab/>
        <w:t xml:space="preserve">____________</w:t>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 Name (print)</w:t>
        <w:tab/>
        <w:t xml:space="preserve">Student Signature</w:t>
        <w:tab/>
        <w:t xml:space="preserve">Date</w:t>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w:t>
        <w:tab/>
        <w:t xml:space="preserve">_______________________________</w:t>
        <w:tab/>
        <w:t xml:space="preserve">____________</w:t>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Parent/Guardian Name (print)</w:t>
        <w:tab/>
        <w:t xml:space="preserve">Parent/Guardian Signature</w:t>
        <w:tab/>
        <w:t xml:space="preserve">Date</w:t>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w:t>
        <w:tab/>
        <w:t xml:space="preserve">_______________________________</w:t>
        <w:tab/>
        <w:t xml:space="preserve">____________</w:t>
      </w:r>
    </w:p>
    <w:p w:rsidR="00000000" w:rsidDel="00000000" w:rsidP="00000000" w:rsidRDefault="00000000" w:rsidRPr="00000000">
      <w:pPr>
        <w:tabs>
          <w:tab w:val="center" w:pos="2160"/>
          <w:tab w:val="center" w:pos="6480"/>
          <w:tab w:val="center" w:pos="97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Counselor Name (print)</w:t>
        <w:tab/>
        <w:t xml:space="preserve">Counselor Signature</w:t>
        <w:tab/>
        <w:t xml:space="preserve">Date</w:t>
      </w:r>
    </w:p>
    <w:sectPr>
      <w:headerReference r:id="rId8" w:type="default"/>
      <w:footerReference r:id="rId9"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Times New Roman"/>
  <w:font w:name="Trebuchet MS"/>
  <w:font w:name="Arial"/>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GOVERNOR’S SCHOOL OF EXCELLENCE</w:t>
    </w:r>
  </w:p>
  <w:p w:rsidR="00000000" w:rsidDel="00000000" w:rsidP="00000000" w:rsidRDefault="00000000" w:rsidRPr="00000000">
    <w:pP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 NEW JERSEY DEPARTMENT OF EDUCATION BEST PRACTICES SCHOOL</w:t>
    </w:r>
  </w:p>
  <w:p w:rsidR="00000000" w:rsidDel="00000000" w:rsidP="00000000" w:rsidRDefault="00000000" w:rsidRPr="00000000">
    <w:pP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FULL MEMBER: NATIONAL COALITION OF ESSENTIAL SCHOOLS</w:t>
    </w:r>
  </w:p>
  <w:p w:rsidR="00000000" w:rsidDel="00000000" w:rsidP="00000000" w:rsidRDefault="00000000" w:rsidRPr="00000000">
    <w:pPr>
      <w:tabs>
        <w:tab w:val="center" w:pos="4680"/>
        <w:tab w:val="right" w:pos="9360"/>
      </w:tabs>
      <w:spacing w:after="576"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-12699</wp:posOffset>
          </wp:positionH>
          <wp:positionV relativeFrom="paragraph">
            <wp:posOffset>-89534</wp:posOffset>
          </wp:positionV>
          <wp:extent cx="1805305" cy="923925"/>
          <wp:effectExtent b="0" l="0" r="0" t="0"/>
          <wp:wrapNone/>
          <wp:docPr descr="PTS-1c-logo" id="3" name="image09.jpg"/>
          <a:graphic>
            <a:graphicData uri="http://schemas.openxmlformats.org/drawingml/2006/picture">
              <pic:pic>
                <pic:nvPicPr>
                  <pic:cNvPr descr="PTS-1c-logo" id="0" name="image09.jpg"/>
                  <pic:cNvPicPr preferRelativeResize="0"/>
                </pic:nvPicPr>
                <pic:blipFill>
                  <a:blip r:embed="rId1"/>
                  <a:srcRect b="0" l="0" r="0" t="0"/>
                  <a:stretch>
                    <a:fillRect/>
                  </a:stretch>
                </pic:blipFill>
                <pic:spPr>
                  <a:xfrm>
                    <a:off x="0" y="0"/>
                    <a:ext cx="1805305" cy="92392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5308600</wp:posOffset>
              </wp:positionH>
              <wp:positionV relativeFrom="paragraph">
                <wp:posOffset>101600</wp:posOffset>
              </wp:positionV>
              <wp:extent cx="1473200" cy="787400"/>
              <wp:effectExtent b="0" l="0" r="0" t="0"/>
              <wp:wrapNone/>
              <wp:docPr id="2"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1473200" cy="7874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5308600</wp:posOffset>
              </wp:positionH>
              <wp:positionV relativeFrom="paragraph">
                <wp:posOffset>101600</wp:posOffset>
              </wp:positionV>
              <wp:extent cx="1473200" cy="787400"/>
              <wp:effectExtent b="0" l="0" r="0" t="0"/>
              <wp:wrapNone/>
              <wp:docPr id="2" name="image07.png"/>
              <a:graphic>
                <a:graphicData uri="http://schemas.openxmlformats.org/drawingml/2006/picture">
                  <pic:pic>
                    <pic:nvPicPr>
                      <pic:cNvPr id="0" name="image07.png"/>
                      <pic:cNvPicPr preferRelativeResize="0"/>
                    </pic:nvPicPr>
                    <pic:blipFill>
                      <a:blip r:embed="rId3"/>
                      <a:srcRect/>
                      <a:stretch>
                        <a:fillRect/>
                      </a:stretch>
                    </pic:blipFill>
                    <pic:spPr>
                      <a:xfrm>
                        <a:off x="0" y="0"/>
                        <a:ext cx="1473200" cy="787400"/>
                      </a:xfrm>
                      <a:prstGeom prst="rect"/>
                      <a:ln/>
                    </pic:spPr>
                  </pic:pic>
                </a:graphicData>
              </a:graphic>
            </wp:anchor>
          </w:drawing>
        </mc:Fallback>
      </mc:AlternateConten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spacing w:after="20" w:lineRule="auto"/>
      <w:contextualSpacing w:val="0"/>
      <w:rPr>
        <w:sz w:val="17"/>
        <w:szCs w:val="17"/>
      </w:rPr>
    </w:pPr>
    <w:r w:rsidDel="00000000" w:rsidR="00000000" w:rsidRPr="00000000">
      <w:rPr>
        <w:sz w:val="17"/>
        <w:szCs w:val="17"/>
        <w:rtl w:val="0"/>
      </w:rPr>
      <w:tab/>
      <w:tab/>
      <w:tab/>
      <w:tab/>
    </w:r>
  </w:p>
  <w:p w:rsidR="00000000" w:rsidDel="00000000" w:rsidP="00000000" w:rsidRDefault="00000000" w:rsidRPr="00000000">
    <w:pPr>
      <w:spacing w:after="20" w:lineRule="auto"/>
      <w:contextualSpacing w:val="0"/>
      <w:rPr>
        <w:sz w:val="17"/>
        <w:szCs w:val="17"/>
      </w:rPr>
    </w:pPr>
    <w:r w:rsidDel="00000000" w:rsidR="00000000" w:rsidRPr="00000000">
      <w:rPr>
        <w:sz w:val="17"/>
        <w:szCs w:val="17"/>
        <w:rtl w:val="0"/>
      </w:rPr>
      <w:tab/>
    </w:r>
  </w:p>
  <w:p w:rsidR="00000000" w:rsidDel="00000000" w:rsidP="00000000" w:rsidRDefault="00000000" w:rsidRPr="00000000">
    <w:pPr>
      <w:spacing w:after="20" w:lineRule="auto"/>
      <w:contextualSpacing w:val="0"/>
      <w:rPr>
        <w:rFonts w:ascii="Trebuchet MS" w:cs="Trebuchet MS" w:eastAsia="Trebuchet MS" w:hAnsi="Trebuchet MS"/>
        <w:color w:val="5f5f5f"/>
        <w:sz w:val="17"/>
        <w:szCs w:val="17"/>
      </w:rPr>
    </w:pPr>
    <w:r w:rsidDel="00000000" w:rsidR="00000000" w:rsidRPr="00000000">
      <mc:AlternateContent>
        <mc:Choice Requires="wpg">
          <w:drawing>
            <wp:inline distB="0" distT="0" distL="0" distR="0">
              <wp:extent cx="1778000" cy="444500"/>
              <wp:effectExtent b="0" l="0" r="0" t="0"/>
              <wp:docPr id="1" name="image01.png"/>
              <a:graphic>
                <a:graphicData uri="http://schemas.openxmlformats.org/drawingml/2006/picture">
                  <pic:pic>
                    <pic:nvPicPr>
                      <pic:cNvPr id="0" name="image01.png"/>
                      <pic:cNvPicPr preferRelativeResize="0"/>
                    </pic:nvPicPr>
                    <pic:blipFill>
                      <a:blip r:embed="rId4"/>
                      <a:srcRect/>
                      <a:stretch>
                        <a:fillRect/>
                      </a:stretch>
                    </pic:blipFill>
                    <pic:spPr>
                      <a:xfrm>
                        <a:off x="0" y="0"/>
                        <a:ext cx="1778000" cy="444500"/>
                      </a:xfrm>
                      <a:prstGeom prst="rect"/>
                      <a:ln/>
                    </pic:spPr>
                  </pic:pic>
                </a:graphicData>
              </a:graphic>
            </wp:inline>
          </w:drawing>
        </mc:Choice>
        <mc:Fallback>
          <w:drawing>
            <wp:inline distB="0" distT="0" distL="0" distR="0">
              <wp:extent cx="1778000" cy="444500"/>
              <wp:effectExtent b="0" l="0" r="0" t="0"/>
              <wp:docPr id="1"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778000" cy="444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after="20" w:lineRule="auto"/>
      <w:contextualSpacing w:val="0"/>
      <w:rPr>
        <w:sz w:val="17"/>
        <w:szCs w:val="1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attrocento" w:cs="Quattrocento" w:eastAsia="Quattrocento" w:hAnsi="Quattrocento"/>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Quattrocento" w:cs="Quattrocento" w:eastAsia="Quattrocento" w:hAnsi="Quattrocento"/>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lpols@pway.org" TargetMode="External"/><Relationship Id="rId6" Type="http://schemas.openxmlformats.org/officeDocument/2006/relationships/hyperlink" Target="mailto:tedmondson@pway.org" TargetMode="External"/><Relationship Id="rId7" Type="http://schemas.openxmlformats.org/officeDocument/2006/relationships/hyperlink" Target="http://www.eligibiltycente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09.jpg"/><Relationship Id="rId2" Type="http://schemas.openxmlformats.org/officeDocument/2006/relationships/image" Target="media/image05.png"/><Relationship Id="rId3" Type="http://schemas.openxmlformats.org/officeDocument/2006/relationships/image" Target="media/image07.png"/><Relationship Id="rId4" Type="http://schemas.openxmlformats.org/officeDocument/2006/relationships/image" Target="media/image01.png"/><Relationship Id="rId5" Type="http://schemas.openxmlformats.org/officeDocument/2006/relationships/image" Target="media/image03.png"/></Relationships>
</file>